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'1.0' encoding='UTF-8' standalone='yes' ?><Relationships xmlns="http://schemas.openxmlformats.org/package/2006/relationships"><Relationship Id="rId1" Type="http://schemas.openxmlformats.org/package/2006/relationships/metadata/core-properties" Target="docProps/core.xml" TargetMode="Internal" /><Relationship Id="rId2" Type="http://schemas.openxmlformats.org/officeDocument/2006/relationships/extended-properties" Target="docProps/app.xml" TargetMode="Internal" /><Relationship Id="rId3" Type="http://schemas.openxmlformats.org/officeDocument/2006/relationships/custom-properties" Target="docProps/custom.xml" TargetMode="Internal" /><Relationship Id="rId4" Type="http://schemas.openxmlformats.org/officeDocument/2006/relationships/officeDocument" Target="word/document.xml" TargetMode="Interna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="http://schemas.openxmlformats.org/wordprocessingml/2006/main" xmlns:wne="http://schemas.microsoft.com/office/word/2006/wordml" xmlns:wpg="http://schemas.microsoft.com/office/word/2010/wordprocessingGroup" xmlns:wps="http://schemas.microsoft.com/office/word/2010/wordprocessingShape" xmlns:a="http://schemas.openxmlformats.org/drawingml/2006/main" xmlns:c="http://schemas.openxmlformats.org/drawingml/2006/chart">
  <w:body>
    <w:p>
      <w:pPr>
        <w:ind w:firstLine="0"/>
        <w:jc w:val="center"/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Н.В. </w:t>
      </w:r>
      <w:r>
        <w:rPr>
          <w:rFonts w:ascii="Times New Roman" w:hAnsi="Times New Roman" w:cs="Times New Roman"/>
          <w:b/>
          <w:i/>
          <w:sz w:val="24"/>
        </w:rPr>
        <w:t>Камашева</w:t>
      </w:r>
    </w:p>
    <w:p>
      <w:pPr>
        <w:ind w:firstLine="0"/>
        <w:jc w:val="center"/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Аспирант О</w:t>
      </w:r>
      <w:r>
        <w:rPr>
          <w:rFonts w:ascii="Times New Roman" w:hAnsi="Times New Roman" w:cs="Times New Roman"/>
          <w:i/>
          <w:sz w:val="24"/>
        </w:rPr>
        <w:t>тдела гуманитарных междисциплинарных исследований</w:t>
      </w:r>
    </w:p>
    <w:p>
      <w:pPr>
        <w:ind w:firstLine="0"/>
        <w:jc w:val="center"/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</w:t>
      </w:r>
      <w:r>
        <w:rPr>
          <w:rFonts w:ascii="Times New Roman" w:hAnsi="Times New Roman" w:cs="Times New Roman"/>
          <w:i/>
          <w:sz w:val="24"/>
        </w:rPr>
        <w:t>едерального исследовательского центра «Коми научный центр</w:t>
      </w:r>
    </w:p>
    <w:p>
      <w:pPr>
        <w:ind w:firstLine="0"/>
        <w:jc w:val="center"/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Уральского отделения РАН», Сыктывкар</w:t>
      </w:r>
    </w:p>
    <w:p>
      <w:pPr>
        <w:ind w:firstLine="0"/>
        <w:jc w:val="center"/>
        <w:spacing w:line="360" w:lineRule="auto"/>
        <w:rPr>
          <w:rFonts w:ascii="Times New Roman" w:hAnsi="Times New Roman" w:cs="Times New Roman"/>
          <w:sz w:val="24"/>
        </w:rPr>
      </w:pPr>
      <w:r>
        <w:rPr/>
        <w:fldChar w:fldCharType="begin" w:fldLock="off"/>
      </w:r>
      <w:r>
        <w:rPr/>
        <w:instrText xml:space="preserve"> Hyperlink "mailto:kamasheva.nad@gmail.com"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4"/>
          <w:lang w:val="en-US"/>
        </w:rPr>
        <w:t>kamasheva</w:t>
      </w:r>
      <w:r>
        <w:rPr>
          <w:rStyle w:val="a3"/>
          <w:rFonts w:ascii="Times New Roman" w:hAnsi="Times New Roman" w:cs="Times New Roman"/>
          <w:sz w:val="24"/>
        </w:rPr>
        <w:t>.</w:t>
      </w:r>
      <w:r>
        <w:rPr>
          <w:rStyle w:val="a3"/>
          <w:rFonts w:ascii="Times New Roman" w:hAnsi="Times New Roman" w:cs="Times New Roman"/>
          <w:sz w:val="24"/>
          <w:lang w:val="en-US"/>
        </w:rPr>
        <w:t>nad</w:t>
      </w:r>
      <w:r>
        <w:rPr>
          <w:rStyle w:val="a3"/>
          <w:rFonts w:ascii="Times New Roman" w:hAnsi="Times New Roman" w:cs="Times New Roman"/>
          <w:sz w:val="24"/>
        </w:rPr>
        <w:t>@</w:t>
      </w:r>
      <w:r>
        <w:rPr>
          <w:rStyle w:val="a3"/>
          <w:rFonts w:ascii="Times New Roman" w:hAnsi="Times New Roman" w:cs="Times New Roman"/>
          <w:sz w:val="24"/>
          <w:lang w:val="en-US"/>
        </w:rPr>
        <w:t>gmail</w:t>
      </w:r>
      <w:r>
        <w:rPr>
          <w:rStyle w:val="a3"/>
          <w:rFonts w:ascii="Times New Roman" w:hAnsi="Times New Roman" w:cs="Times New Roman"/>
          <w:sz w:val="24"/>
        </w:rPr>
        <w:t>.</w:t>
      </w:r>
      <w:r>
        <w:rPr>
          <w:rStyle w:val="a3"/>
          <w:rFonts w:ascii="Times New Roman" w:hAnsi="Times New Roman" w:cs="Times New Roman"/>
          <w:sz w:val="24"/>
          <w:lang w:val="en-US"/>
        </w:rPr>
        <w:t>com</w:t>
      </w:r>
      <w:r>
        <w:rPr/>
        <w:fldChar w:fldCharType="end" w:fldLock="off"/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jc w:val="center"/>
        <w:spacing w:line="360" w:lineRule="auto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i w:val="off"/>
          <w:color w:val="333333"/>
          <w:sz w:val="24"/>
          <w:shd w:val="clear" w:color="auto" w:fill="FFFFFF"/>
        </w:rPr>
        <w:t>Научный туризм на Полярном Урале как пример возможного сотрудничества в Арктическом регионе</w:t>
      </w:r>
    </w:p>
    <w:p>
      <w:pPr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Понимание актуальности изучения арктических территорий и вовлечения </w:t>
      </w:r>
      <w:r>
        <w:rPr>
          <w:rFonts w:ascii="Times New Roman" w:hAnsi="Times New Roman" w:cs="Times New Roman"/>
          <w:sz w:val="24"/>
        </w:rPr>
        <w:t>их в зону освоенного и заселенного человеком пространства подводит исследователей к развитию разнообразных направлений, изучению ранее неиспользуемых акторов.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последние десятилетия в мировой политике произошли изменения, одной из форм международного сотрудничества становится научный туризм. Как известно, наука, экология и туризм не имеют национальности. Это то, что разворачивает государства друг к другу, побуждает к совместным действиям. А объединить все три направления, на наш взгляд, можно благодаря развитию научного туризма. Развитие научного туризма в Арктике – наиболее подходящий вариант для дальнейшего сотрудничества. Ведь даже в условиях нестабильной геополитической обстановки необходим диалог и развитие. Актуальность проблемы, основные задачи и результаты исследования сформулированы автором в ходе выполнения магистерской диссертации, выполнение которой базировалось на компаративном анализе российского и зарубежного опыта в развитии научного туризма.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докладе анализируется разработанные автором программы научно-познавательного туризма для российской Арктики на примере Полярного Урала, принципы разработки маршрутов, их тематика. Основными блоками выделены: изучение изменений топонимику Полярного Урала, исследования эволюции ледников Полярного Урала, как индикаторов процесса изменения климата, туристские ресурсы районов; историко-этнографическое экологическое, гидрологическое направления.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Предварительные программы для научного туризма были разработаны и для применения на территории Полярного Урала. </w:t>
      </w:r>
      <w:r>
        <w:rPr>
          <w:rFonts w:ascii="Times New Roman" w:hAnsi="Times New Roman" w:cs="Times New Roman"/>
          <w:sz w:val="24"/>
        </w:rPr>
        <w:t xml:space="preserve">К примеру, включённость темы топонимики аргументируется тем, что кочующие народы – ненцы, коми, манси, ханты – называли природные объекты в регионе Полярного Урала на своих национальных языках. Реализация данного направления позволит узнать и сравнить насколько названия, которые сами в себе содержат краткие описания, соответствуют существующему положению </w:t>
      </w:r>
      <w:r>
        <w:rPr>
          <w:rFonts w:ascii="Times New Roman" w:hAnsi="Times New Roman" w:cs="Times New Roman"/>
          <w:sz w:val="24"/>
        </w:rPr>
        <w:lastRenderedPageBreak/>
        <w:t>географических объектов. К примеру, название города Воркута дано по реке Воркута, а самоназвание происходит от ненецкого «</w:t>
      </w:r>
      <w:r>
        <w:rPr>
          <w:rFonts w:ascii="Times New Roman" w:hAnsi="Times New Roman" w:cs="Times New Roman"/>
          <w:sz w:val="24"/>
        </w:rPr>
        <w:t>Варкута-яха», означающее «река, изобилующая медведями», при этом «варк» обозначает «медведь».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исследовании автором рассматривается включение научного туризма в образовательный процесс. Для этого был использован опыт европейских стран, позволяющий применять потенциал соответствующих территорий при создании сетевой образовательной программы. Научный туризм позволит повысить международную студенческую мобильность, применить знания в изучаемой среде, практические знания позволят повысить уровень подготовки специалистов, устойчивый туризм является и фактором устойчивого развития локальных территорий, а также благодаря этому виду туризма возможно укрепление стабильного развития и других территорий.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/>
      </w:pPr>
    </w:p>
    <w:sectPr>
      <w:type w:val="nextPage"/>
      <w:headerReference w:type="default" r:id="rId5"/>
      <w:headerReference w:type="even" r:id="rId6"/>
      <w:headerReference w:type="first" r:id="rId7"/>
      <w:footerReference w:type="default" r:id="rId8"/>
      <w:footerReference w:type="even" r:id="rId9"/>
      <w:footerReference w:type="first" r:id="rId10"/>
      <w:lnNumType/>
      <w:pgBorders/>
      <w:pgSz w:w="11906" w:h="16838"/>
      <w:pgMar w:top="1134" w:right="850" w:bottom="1134" w:left="1701" w:header="708" w:footer="708" w:gutter="0"/>
      <w:cols w:num="1" w:space="708"/>
      <w:docGrid w:type="default" w:linePitch="360" w:charSpace="20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@Batang">
    <w:altName w:val="null"/>
    <w:panose1 w:val="02030600000101010101"/>
    <w:charset w:val="81"/>
    <w:family w:val="Roman"/>
    <w:pitch w:val="variable"/>
    <w:sig w:csb0="0008009F" w:csb1="00000000" w:usb0="B00002AF" w:usb1="69D77CFB" w:usb2="00000030" w:usb3="00000000"/>
  </w:font>
  <w:font w:name="Batang">
    <w:altName w:val="Batang"/>
    <w:panose1 w:val="02030600000101010101"/>
    <w:charset w:val="81"/>
    <w:family w:val="Roman"/>
    <w:pitch w:val="variable"/>
    <w:sig w:csb0="0008009F" w:csb1="00000000" w:usb0="B00002AF" w:usb1="69D77CFB" w:usb2="00000030" w:usb3="00000000"/>
  </w:font>
  <w:font w:name="Tahoma">
    <w:altName w:val="null"/>
    <w:panose1 w:val="020B0604030504040204"/>
    <w:charset w:val="00"/>
    <w:family w:val="Swiss"/>
    <w:pitch w:val="variable"/>
    <w:sig w:csb0="000101FF" w:csb1="00000000" w:usb0="61007A87" w:usb1="80000000" w:usb2="00000008" w:usb3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a6"/>
      <w:jc w:val="right"/>
      <w:rPr/>
    </w:pPr>
    <w:r>
      <w:rPr/>
      <w:fldChar w:fldCharType="begin" w:fldLock="off"/>
    </w:r>
    <w:r>
      <w:rPr/>
      <w:instrText>PAGE \* MERGEFORMAT</w:instrText>
    </w:r>
    <w:r>
      <w:rPr/>
      <w:fldChar w:fldCharType="separate" w:fldLock="off"/>
    </w:r>
    <w:r>
      <w:rPr>
        <w:noProof/>
      </w:rPr>
      <w:t>1</w:t>
    </w:r>
    <w:r>
      <w:rPr/>
      <w:fldChar w:fldCharType="end" w:fldLock="off"/>
    </w:r>
  </w:p>
  <w:p>
    <w:pPr>
      <w:pStyle w:val="a6"/>
      <w:rPr/>
    </w:pP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a6"/>
      <w:rPr/>
    </w:pP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a6"/>
      <w:rPr/>
    </w:pP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a4"/>
      <w:rPr/>
    </w:pP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a4"/>
      <w:rPr/>
    </w:pP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a4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tSurroundHeader/>
  <w:bordersDontSurroundFooter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200" w:line="276" w:lineRule="auto"/>
      </w:pPr>
    </w:pPrDefault>
    <w:rPrDefault>
      <w:rPr>
        <w:rFonts w:ascii="Calibri" w:hAnsi="Calibri" w:eastAsia="Calibri"/>
        <w:sz w:val="22"/>
        <w:szCs w:val="22"/>
        <w:lang w:val="ru-RU" w:eastAsia="en-US" w:bidi="ar-SA"/>
      </w:rPr>
    </w:rPrDefault>
  </w:docDefaults>
  <w:style w:type="character" w:styleId="a0" w:default="on">
    <w:name w:val="Default Paragraph Font"/>
    <w:semiHidden/>
  </w:style>
  <w:style w:type="paragraph" w:styleId="a" w:default="on">
    <w:name w:val="Normal"/>
    <w:qFormat/>
    <w:pPr>
      <w:ind w:firstLine="709"/>
      <w:jc w:val="both"/>
      <w:spacing w:after="0" w:line="240" w:lineRule="auto"/>
    </w:pPr>
    <w:rPr>
      <w:szCs w:val="24"/>
    </w:rPr>
  </w:style>
  <w:style w:type="table" w:styleId="a1" w:default="on">
    <w:name w:val="Normal Table"/>
    <w:semiHidden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  <w:tblCellSpacing w:w="0" w:type="auto"/>
    </w:tblPr>
  </w:style>
  <w:style w:type="numbering" w:styleId="a2" w:default="on">
    <w:name w:val="No List"/>
    <w:semiHidden/>
  </w:style>
  <w:style w:type="paragraph" w:styleId="a4">
    <w:name w:val="header"/>
    <w:basedOn w:val="a"/>
    <w:pPr>
      <w:tabs>
        <w:tab w:val="center" w:leader="none" w:pos="4677"/>
        <w:tab w:val="right" w:leader="none" w:pos="9355"/>
      </w:tabs>
    </w:pPr>
  </w:style>
  <w:style w:type="paragraph" w:styleId="a6">
    <w:name w:val="footer"/>
    <w:basedOn w:val="a"/>
    <w:pPr>
      <w:tabs>
        <w:tab w:val="center" w:leader="none" w:pos="4677"/>
        <w:tab w:val="right" w:leader="none" w:pos="9355"/>
      </w:tabs>
    </w:pPr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 ?><Relationships xmlns="http://schemas.openxmlformats.org/package/2006/relationships"><Relationship Id="rId1" Type="http://schemas.openxmlformats.org/officeDocument/2006/relationships/settings" Target="settings.xml" TargetMode="Internal" /><Relationship Id="rId2" Type="http://schemas.openxmlformats.org/officeDocument/2006/relationships/webSettings" Target="webSettings.xml" TargetMode="Internal" /><Relationship Id="rId3" Type="http://schemas.openxmlformats.org/officeDocument/2006/relationships/fontTable" Target="fontTable.xml" TargetMode="Internal" /><Relationship Id="rId4" Type="http://schemas.openxmlformats.org/officeDocument/2006/relationships/styles" Target="styles.xml" TargetMode="Internal" /><Relationship Id="rId10" Type="http://schemas.openxmlformats.org/officeDocument/2006/relationships/footer" Target="footer3.xml" TargetMode="Internal" /><Relationship Id="rId9" Type="http://schemas.openxmlformats.org/officeDocument/2006/relationships/footer" Target="footer2.xml" TargetMode="Internal" /><Relationship Id="rId5" Type="http://schemas.openxmlformats.org/officeDocument/2006/relationships/header" Target="header1.xml" TargetMode="Internal" /><Relationship Id="rId6" Type="http://schemas.openxmlformats.org/officeDocument/2006/relationships/header" Target="header2.xml" TargetMode="Internal" /><Relationship Id="rId7" Type="http://schemas.openxmlformats.org/officeDocument/2006/relationships/header" Target="header3.xml" TargetMode="Internal" /><Relationship Id="rId8" Type="http://schemas.openxmlformats.org/officeDocument/2006/relationships/footer" Target="footer1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SPecialiST RePack</Company>
  <Pages>2</Pages>
  <Words>466</Words>
  <Characters>2660</Characters>
  <Lines>22</Lines>
  <Paragraphs>6</Paragraphs>
  <Slides>0</Slides>
  <Notes>0</Notes>
  <TotalTime>0</TotalTime>
  <HiddenSlides>0</HiddenSlides>
  <MMClips>0</MMClips>
  <ScaleCrop>false</ScaleCrop>
  <LinksUpToDate>false</LinksUpToDate>
  <CharactersWithSpaces>3120</CharactersWithSpaces>
  <SharedDoc>false</SharedDoc>
  <HyperlinkBase/>
  <HyperlinksChanged>false</HyperlinksChanged>
  <Application>Hancom ThinkFree Weboffice Hword v1</Application>
  <AppVersion>07.0170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2</cp:revision>
  <dcterms:created xsi:type="dcterms:W3CDTF">2020-01-31T10:03:00Z</dcterms:created>
  <dcterms:modified xsi:type="dcterms:W3CDTF">2020-02-20T09:06:43Z</dcterms:modified>
  <cp:version>14.0000</cp:version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